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4091" w:rsidRDefault="00AC196B" w:rsidP="005660E8">
      <w:pPr>
        <w:jc w:val="center"/>
      </w:pPr>
      <w:bookmarkStart w:id="0" w:name="_GoBack"/>
      <w:bookmarkEnd w:id="0"/>
      <w:r w:rsidRPr="00AC196B">
        <w:rPr>
          <w:noProof/>
          <w:lang w:eastAsia="pl-PL"/>
        </w:rPr>
        <w:drawing>
          <wp:inline distT="0" distB="0" distL="0" distR="0" wp14:anchorId="1BAB3D01" wp14:editId="3907C16B">
            <wp:extent cx="5760720" cy="3858445"/>
            <wp:effectExtent l="0" t="0" r="0" b="889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0FA" w:rsidRDefault="00E14091" w:rsidP="001048E7">
      <w:pPr>
        <w:pStyle w:val="Standard"/>
        <w:spacing w:line="360" w:lineRule="auto"/>
        <w:ind w:firstLine="567"/>
        <w:jc w:val="both"/>
      </w:pPr>
      <w:r>
        <w:t xml:space="preserve">W efekcie realizacji projektu umocnień typu holenderskiego powstało czternaście bastionów, z czego </w:t>
      </w:r>
      <w:r w:rsidR="00326BCB">
        <w:t xml:space="preserve">dokładnie </w:t>
      </w:r>
      <w:r w:rsidR="00AC196B">
        <w:t>połowa</w:t>
      </w:r>
      <w:r>
        <w:t xml:space="preserve"> wzdłuż południowo-wschodniej granicy Dolnego Miasta. Ich nazwy ewoluowały w ciągu wieków, a w przypadku niektórych stosowano i stosuje się parę nazw alternatywnie. I tak: </w:t>
      </w:r>
      <w:r w:rsidRPr="004F7C69">
        <w:rPr>
          <w:b/>
        </w:rPr>
        <w:t>Bastion Wilk</w:t>
      </w:r>
      <w:r>
        <w:t xml:space="preserve"> (</w:t>
      </w:r>
      <w:r>
        <w:rPr>
          <w:i/>
          <w:iCs/>
        </w:rPr>
        <w:t>Wolf</w:t>
      </w:r>
      <w:r>
        <w:t xml:space="preserve">), pierwszy od południa, zachował do dziś swoją historyczną nazwę w polskim tłumaczeniu. Kolejny – </w:t>
      </w:r>
      <w:r w:rsidRPr="004F7C69">
        <w:rPr>
          <w:b/>
        </w:rPr>
        <w:t>Bastion Wyskok</w:t>
      </w:r>
      <w:r>
        <w:t xml:space="preserve"> (</w:t>
      </w:r>
      <w:proofErr w:type="spellStart"/>
      <w:r>
        <w:rPr>
          <w:i/>
          <w:iCs/>
        </w:rPr>
        <w:t>Aussprung</w:t>
      </w:r>
      <w:proofErr w:type="spellEnd"/>
      <w:r>
        <w:t>), pierwotnie nazywany był Bagnem (</w:t>
      </w:r>
      <w:proofErr w:type="spellStart"/>
      <w:r>
        <w:rPr>
          <w:i/>
          <w:iCs/>
        </w:rPr>
        <w:t>Sumpf</w:t>
      </w:r>
      <w:proofErr w:type="spellEnd"/>
      <w:r>
        <w:t>), a przez znaczną część swojej historii określany był mianem Zarazy (</w:t>
      </w:r>
      <w:proofErr w:type="spellStart"/>
      <w:r>
        <w:rPr>
          <w:i/>
          <w:iCs/>
        </w:rPr>
        <w:t>Pestilenz</w:t>
      </w:r>
      <w:proofErr w:type="spellEnd"/>
      <w:r>
        <w:t>) od znajdujących się tuż przy nim Domów Zarazy. Nazwa Bastionu Niedźwiedź (</w:t>
      </w:r>
      <w:r>
        <w:rPr>
          <w:i/>
          <w:iCs/>
        </w:rPr>
        <w:t>Bär</w:t>
      </w:r>
      <w:r>
        <w:t xml:space="preserve">) w polskim tłumaczeniu uległa niczym nie uzasadnionemu zdrobnieniu, jest on więc dzisiaj znany pod nazwą </w:t>
      </w:r>
      <w:r w:rsidR="00326BCB" w:rsidRPr="00326BCB">
        <w:rPr>
          <w:b/>
        </w:rPr>
        <w:t xml:space="preserve">Bastionu </w:t>
      </w:r>
      <w:r w:rsidRPr="00326BCB">
        <w:rPr>
          <w:b/>
        </w:rPr>
        <w:t>„Miś”</w:t>
      </w:r>
      <w:r>
        <w:t xml:space="preserve">. </w:t>
      </w:r>
      <w:r w:rsidR="00A578E4">
        <w:t xml:space="preserve">Natomiast </w:t>
      </w:r>
      <w:r w:rsidRPr="004F7C69">
        <w:rPr>
          <w:b/>
        </w:rPr>
        <w:t>Bastion Królik</w:t>
      </w:r>
      <w:r>
        <w:t xml:space="preserve"> (</w:t>
      </w:r>
      <w:proofErr w:type="spellStart"/>
      <w:r>
        <w:rPr>
          <w:i/>
          <w:iCs/>
        </w:rPr>
        <w:t>Kaninchen</w:t>
      </w:r>
      <w:proofErr w:type="spellEnd"/>
      <w:r>
        <w:t>), nazywany także przez pewien czas Bastionem Wyskok (</w:t>
      </w:r>
      <w:proofErr w:type="spellStart"/>
      <w:r>
        <w:rPr>
          <w:i/>
          <w:iCs/>
        </w:rPr>
        <w:t>Aussprung</w:t>
      </w:r>
      <w:proofErr w:type="spellEnd"/>
      <w:r>
        <w:t xml:space="preserve">), który powstał z użyciem ziemi ze splantowanego Psiego Wału, otrzymał z trudnych do ustalenia powodów polską nazwę „Dzik”. Ostatni Bastion </w:t>
      </w:r>
      <w:proofErr w:type="spellStart"/>
      <w:r>
        <w:t>Roggego</w:t>
      </w:r>
      <w:proofErr w:type="spellEnd"/>
      <w:r>
        <w:t xml:space="preserve"> (</w:t>
      </w:r>
      <w:proofErr w:type="spellStart"/>
      <w:r>
        <w:rPr>
          <w:i/>
          <w:iCs/>
        </w:rPr>
        <w:t>Roggen</w:t>
      </w:r>
      <w:proofErr w:type="spellEnd"/>
      <w:r>
        <w:t xml:space="preserve">), a dokładnej „Bastion za Ogrodem Pana (Rajcy) </w:t>
      </w:r>
      <w:proofErr w:type="spellStart"/>
      <w:r>
        <w:t>Roggego</w:t>
      </w:r>
      <w:proofErr w:type="spellEnd"/>
      <w:r>
        <w:t>” (</w:t>
      </w:r>
      <w:proofErr w:type="spellStart"/>
      <w:r>
        <w:rPr>
          <w:i/>
          <w:iCs/>
        </w:rPr>
        <w:t>Hinter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Herrn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Roggen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Garten</w:t>
      </w:r>
      <w:proofErr w:type="spellEnd"/>
      <w:r>
        <w:t xml:space="preserve">), przypominający o wkładzie rajcy Michaela </w:t>
      </w:r>
      <w:proofErr w:type="spellStart"/>
      <w:r>
        <w:t>Roggego</w:t>
      </w:r>
      <w:proofErr w:type="spellEnd"/>
      <w:r>
        <w:t xml:space="preserve"> w swoje powstanie, w skrócie nazywany był </w:t>
      </w:r>
      <w:proofErr w:type="spellStart"/>
      <w:r>
        <w:rPr>
          <w:i/>
          <w:iCs/>
        </w:rPr>
        <w:t>Herrengarten</w:t>
      </w:r>
      <w:proofErr w:type="spellEnd"/>
      <w:r>
        <w:t xml:space="preserve"> (dosł. 'pański ogród'), która to nazwa w polskiej wersji przybrała kształt „</w:t>
      </w:r>
      <w:r w:rsidRPr="004F7C69">
        <w:rPr>
          <w:b/>
        </w:rPr>
        <w:t>Bastion Ogrodowy</w:t>
      </w:r>
      <w:r>
        <w:t>”.</w:t>
      </w:r>
    </w:p>
    <w:p w:rsidR="00D220FA" w:rsidRPr="00D220FA" w:rsidRDefault="00D220FA" w:rsidP="00D220FA">
      <w:pPr>
        <w:rPr>
          <w:lang w:eastAsia="zh-CN" w:bidi="hi-IN"/>
        </w:rPr>
      </w:pPr>
    </w:p>
    <w:p w:rsidR="00354C80" w:rsidRDefault="00D220FA" w:rsidP="00D220FA">
      <w:pPr>
        <w:jc w:val="right"/>
        <w:rPr>
          <w:b/>
          <w:sz w:val="32"/>
          <w:szCs w:val="32"/>
          <w:lang w:eastAsia="zh-CN" w:bidi="hi-IN"/>
        </w:rPr>
      </w:pPr>
      <w:r w:rsidRPr="00AC196B">
        <w:rPr>
          <w:b/>
          <w:sz w:val="32"/>
          <w:szCs w:val="32"/>
          <w:lang w:eastAsia="zh-CN" w:bidi="hi-IN"/>
        </w:rPr>
        <w:t>Str. 15</w:t>
      </w:r>
    </w:p>
    <w:p w:rsidR="00354C80" w:rsidRDefault="00354C80">
      <w:pPr>
        <w:rPr>
          <w:b/>
          <w:sz w:val="32"/>
          <w:szCs w:val="32"/>
          <w:lang w:eastAsia="zh-CN" w:bidi="hi-IN"/>
        </w:rPr>
      </w:pPr>
      <w:r>
        <w:rPr>
          <w:b/>
          <w:sz w:val="32"/>
          <w:szCs w:val="32"/>
          <w:lang w:eastAsia="zh-CN" w:bidi="hi-IN"/>
        </w:rPr>
        <w:br w:type="page"/>
      </w:r>
    </w:p>
    <w:p w:rsidR="0071493E" w:rsidRDefault="0071493E" w:rsidP="005660E8">
      <w:pPr>
        <w:jc w:val="center"/>
        <w:rPr>
          <w:b/>
          <w:sz w:val="32"/>
          <w:szCs w:val="32"/>
          <w:lang w:eastAsia="zh-CN" w:bidi="hi-IN"/>
        </w:rPr>
      </w:pPr>
      <w:r w:rsidRPr="0071493E">
        <w:rPr>
          <w:b/>
          <w:noProof/>
          <w:sz w:val="32"/>
          <w:szCs w:val="32"/>
          <w:lang w:eastAsia="pl-PL"/>
        </w:rPr>
        <w:lastRenderedPageBreak/>
        <w:drawing>
          <wp:inline distT="0" distB="0" distL="0" distR="0" wp14:anchorId="36C2925B" wp14:editId="749427CF">
            <wp:extent cx="5759450" cy="3479668"/>
            <wp:effectExtent l="0" t="0" r="0" b="698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79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C69" w:rsidRDefault="004F7C69" w:rsidP="001048E7">
      <w:pPr>
        <w:pStyle w:val="Standard"/>
        <w:spacing w:line="360" w:lineRule="auto"/>
        <w:ind w:firstLine="567"/>
        <w:jc w:val="both"/>
      </w:pPr>
      <w:r>
        <w:t xml:space="preserve">Od 1619 do 1623 roku pochodzący z </w:t>
      </w:r>
      <w:proofErr w:type="spellStart"/>
      <w:r>
        <w:t>Alkmaar</w:t>
      </w:r>
      <w:proofErr w:type="spellEnd"/>
      <w:r>
        <w:t xml:space="preserve"> we Fryzji Wilhelm Jansen </w:t>
      </w:r>
      <w:proofErr w:type="spellStart"/>
      <w:r>
        <w:t>Beningen</w:t>
      </w:r>
      <w:proofErr w:type="spellEnd"/>
      <w:r>
        <w:t xml:space="preserve"> i Adrian </w:t>
      </w:r>
      <w:proofErr w:type="spellStart"/>
      <w:r>
        <w:t>Olbrantsen</w:t>
      </w:r>
      <w:proofErr w:type="spellEnd"/>
      <w:r>
        <w:t xml:space="preserve"> pracowali nad bezpiecznym rozwiązaniem kwestii wprowadzenia wód Motławy w obręb fortyfikacji. Tak powstała Śluza Główna, nieco później, po rozbudowie w połowie XVII wieku, nazwana Kamienną, arcydzieło budownictwa militarno-wodnego, które przetrwawszy do naszych czasów jako unikatowy zabytek, rozpada się na naszych oczach.</w:t>
      </w:r>
      <w:r w:rsidR="00BF74A2">
        <w:t xml:space="preserve"> </w:t>
      </w:r>
    </w:p>
    <w:p w:rsidR="00BF74A2" w:rsidRDefault="00BF74A2" w:rsidP="004F7C69">
      <w:pPr>
        <w:pStyle w:val="Standard"/>
        <w:spacing w:line="360" w:lineRule="auto"/>
        <w:jc w:val="both"/>
      </w:pPr>
    </w:p>
    <w:p w:rsidR="00BF74A2" w:rsidRDefault="00BF74A2" w:rsidP="001048E7">
      <w:pPr>
        <w:pStyle w:val="Standard"/>
        <w:spacing w:line="360" w:lineRule="auto"/>
        <w:ind w:firstLine="567"/>
        <w:jc w:val="both"/>
      </w:pPr>
      <w:r>
        <w:t>Budowla została  osadzona na umieszczonym na palach ruszcie o bokach 43 m i 27 m, złożonym z płyt kamiennych i bali sosnowych. Ściany wzdłużne stanowią dwa mury oporowe o grubości od 2 m do 2,3 m. Pomiędzy nimi znajduje się trzeci mur, który dzieli śluzę na dwie nierówne części: wschodnią (otwartą, stanowiącą śluzę właściwą) oraz zachodnią (sklepioną, stanowiącą kanał dostarczający wodę na koła młyna). Śluza była zamykana dwiema parami wrót odległymi od siebie o 20 m, z których zachowały się wrota od strony miasta. Nad śluzą znajdował się most zwodzony, który został zastąpiony w połowie XIX wieku stałym.</w:t>
      </w:r>
    </w:p>
    <w:p w:rsidR="00BF74A2" w:rsidRDefault="00BF74A2" w:rsidP="00BF74A2">
      <w:pPr>
        <w:pStyle w:val="Standard"/>
        <w:spacing w:line="360" w:lineRule="auto"/>
        <w:jc w:val="both"/>
      </w:pPr>
    </w:p>
    <w:p w:rsidR="00BF74A2" w:rsidRDefault="00BF74A2" w:rsidP="001048E7">
      <w:pPr>
        <w:pStyle w:val="Standard"/>
        <w:spacing w:line="360" w:lineRule="auto"/>
        <w:ind w:firstLine="567"/>
        <w:jc w:val="both"/>
      </w:pPr>
      <w:r>
        <w:t xml:space="preserve">Dla obrony w 1668 i 1672 śluzę wyposażono w dwie lunety (tzw. Świńskie Głowy), pomiędzy którymi ciągną się dwie kamienne grodzie o długości 100 m, naprowadzające wody Motławy na śluzę. Na końcach każdej grodzi stoją </w:t>
      </w:r>
      <w:r w:rsidR="00326BCB">
        <w:t>trzy</w:t>
      </w:r>
      <w:r>
        <w:t xml:space="preserve"> wieżyczki </w:t>
      </w:r>
      <w:r w:rsidR="00326BCB">
        <w:t>–</w:t>
      </w:r>
      <w:r>
        <w:t xml:space="preserve"> </w:t>
      </w:r>
      <w:r w:rsidR="00EA0017">
        <w:t xml:space="preserve">łącznie </w:t>
      </w:r>
      <w:r w:rsidR="00326BCB">
        <w:t xml:space="preserve">Sześć </w:t>
      </w:r>
      <w:r>
        <w:t>Dziewic</w:t>
      </w:r>
      <w:r w:rsidR="00326BCB">
        <w:t xml:space="preserve"> </w:t>
      </w:r>
      <w:r>
        <w:t>- które miały uniemożliwiać przejście wrogich żołnierzy po grodziach.</w:t>
      </w:r>
    </w:p>
    <w:p w:rsidR="00BF74A2" w:rsidRDefault="00BF74A2" w:rsidP="00BF74A2">
      <w:pPr>
        <w:jc w:val="right"/>
        <w:rPr>
          <w:b/>
          <w:sz w:val="32"/>
          <w:szCs w:val="32"/>
          <w:lang w:eastAsia="zh-CN" w:bidi="hi-IN"/>
        </w:rPr>
      </w:pPr>
      <w:r w:rsidRPr="00AC196B">
        <w:rPr>
          <w:b/>
          <w:sz w:val="32"/>
          <w:szCs w:val="32"/>
          <w:lang w:eastAsia="zh-CN" w:bidi="hi-IN"/>
        </w:rPr>
        <w:t>Str. 1</w:t>
      </w:r>
      <w:r>
        <w:rPr>
          <w:b/>
          <w:sz w:val="32"/>
          <w:szCs w:val="32"/>
          <w:lang w:eastAsia="zh-CN" w:bidi="hi-IN"/>
        </w:rPr>
        <w:t>4</w:t>
      </w:r>
    </w:p>
    <w:p w:rsidR="00C40124" w:rsidRDefault="00C40124" w:rsidP="004426AA">
      <w:pPr>
        <w:pStyle w:val="Standard"/>
        <w:spacing w:line="360" w:lineRule="auto"/>
        <w:jc w:val="both"/>
      </w:pPr>
    </w:p>
    <w:p w:rsidR="00090D51" w:rsidRDefault="00090D51" w:rsidP="004426AA">
      <w:pPr>
        <w:pStyle w:val="Standard"/>
        <w:spacing w:line="360" w:lineRule="auto"/>
        <w:jc w:val="both"/>
      </w:pPr>
    </w:p>
    <w:p w:rsidR="00C40124" w:rsidRDefault="008D2BD3" w:rsidP="005660E8">
      <w:pPr>
        <w:pStyle w:val="Standard"/>
        <w:spacing w:line="360" w:lineRule="auto"/>
        <w:jc w:val="center"/>
      </w:pPr>
      <w:r w:rsidRPr="008D2BD3">
        <w:rPr>
          <w:noProof/>
          <w:lang w:eastAsia="pl-PL" w:bidi="ar-SA"/>
        </w:rPr>
        <w:lastRenderedPageBreak/>
        <w:drawing>
          <wp:inline distT="0" distB="0" distL="0" distR="0" wp14:anchorId="4978EED3" wp14:editId="744D105B">
            <wp:extent cx="5759450" cy="3555723"/>
            <wp:effectExtent l="0" t="0" r="0" b="698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55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D51" w:rsidRDefault="00090D51" w:rsidP="004426AA">
      <w:pPr>
        <w:pStyle w:val="Standard"/>
        <w:spacing w:line="360" w:lineRule="auto"/>
        <w:jc w:val="both"/>
      </w:pPr>
    </w:p>
    <w:p w:rsidR="004426AA" w:rsidRDefault="004426AA" w:rsidP="001048E7">
      <w:pPr>
        <w:pStyle w:val="Standard"/>
        <w:spacing w:line="360" w:lineRule="auto"/>
        <w:ind w:firstLine="567"/>
        <w:jc w:val="both"/>
      </w:pPr>
      <w:r>
        <w:t xml:space="preserve">Inwestycją, która poniekąd nawiązywała do fabrycznego charakteru dzielnicy było wzniesienie w u jej południowego skraju dwóch osiedli przeznaczonych dla ubogich, ale porządnych mieszkańców. Jako pierwsze powstało osiedle fundacji </w:t>
      </w:r>
      <w:proofErr w:type="spellStart"/>
      <w:r>
        <w:t>Abegga</w:t>
      </w:r>
      <w:proofErr w:type="spellEnd"/>
      <w:r>
        <w:t xml:space="preserve">, obejmującej 10 bliźniaczych domów, wznoszonych od 1871 r. przy południowym końcu ówczesnej </w:t>
      </w:r>
      <w:proofErr w:type="spellStart"/>
      <w:r>
        <w:rPr>
          <w:i/>
          <w:iCs/>
        </w:rPr>
        <w:t>Feldweg</w:t>
      </w:r>
      <w:proofErr w:type="spellEnd"/>
      <w:r>
        <w:t xml:space="preserve">, przemianowanej w związku z powstaniem osiedla na </w:t>
      </w:r>
      <w:proofErr w:type="spellStart"/>
      <w:r>
        <w:t>Abegg-Gasse</w:t>
      </w:r>
      <w:proofErr w:type="spellEnd"/>
      <w:r>
        <w:t xml:space="preserve"> (po 1945 r. ul. Dobra). </w:t>
      </w:r>
      <w:r w:rsidR="008D2BD3">
        <w:t xml:space="preserve">Niestety – do naszych czasów nie przetrwał ani jeden z dziesięciu domów osiedla fundacji </w:t>
      </w:r>
      <w:proofErr w:type="spellStart"/>
      <w:r w:rsidR="008D2BD3">
        <w:t>Abegga</w:t>
      </w:r>
      <w:proofErr w:type="spellEnd"/>
      <w:r w:rsidR="008D2BD3">
        <w:t xml:space="preserve">. </w:t>
      </w:r>
      <w:r>
        <w:t>Tuż obok, przy nazwanej od niej ul. Fundacyjnej (</w:t>
      </w:r>
      <w:proofErr w:type="spellStart"/>
      <w:r>
        <w:rPr>
          <w:i/>
          <w:iCs/>
        </w:rPr>
        <w:t>Stiftsgasse</w:t>
      </w:r>
      <w:proofErr w:type="spellEnd"/>
      <w:r>
        <w:t xml:space="preserve">), fundacja rodziny </w:t>
      </w:r>
      <w:proofErr w:type="spellStart"/>
      <w:r>
        <w:t>Reinicke</w:t>
      </w:r>
      <w:proofErr w:type="spellEnd"/>
      <w:r>
        <w:t xml:space="preserve"> zbudowała w 1881 r. dwa budynki przeznaczone dla ludzi starszych i bezrobotnych, w których azyl znalazło ok. 70 podopiecznych.</w:t>
      </w:r>
      <w:r w:rsidR="00C40124">
        <w:t xml:space="preserve"> Domy tej drugiej fundacji cały czas stoją na Dolnym Mieście. </w:t>
      </w:r>
    </w:p>
    <w:p w:rsidR="004426AA" w:rsidRDefault="004426AA" w:rsidP="00BF74A2">
      <w:pPr>
        <w:jc w:val="right"/>
        <w:rPr>
          <w:b/>
          <w:sz w:val="32"/>
          <w:szCs w:val="32"/>
          <w:lang w:eastAsia="zh-CN" w:bidi="hi-IN"/>
        </w:rPr>
      </w:pPr>
    </w:p>
    <w:p w:rsidR="00BF74A2" w:rsidRDefault="00B62A20" w:rsidP="00B62A20">
      <w:pPr>
        <w:jc w:val="right"/>
        <w:rPr>
          <w:b/>
          <w:sz w:val="32"/>
          <w:szCs w:val="32"/>
          <w:lang w:eastAsia="zh-CN" w:bidi="hi-IN"/>
        </w:rPr>
      </w:pPr>
      <w:r w:rsidRPr="00AC196B">
        <w:rPr>
          <w:b/>
          <w:sz w:val="32"/>
          <w:szCs w:val="32"/>
          <w:lang w:eastAsia="zh-CN" w:bidi="hi-IN"/>
        </w:rPr>
        <w:t xml:space="preserve">Str. </w:t>
      </w:r>
      <w:r>
        <w:rPr>
          <w:b/>
          <w:sz w:val="32"/>
          <w:szCs w:val="32"/>
          <w:lang w:eastAsia="zh-CN" w:bidi="hi-IN"/>
        </w:rPr>
        <w:t>35</w:t>
      </w:r>
    </w:p>
    <w:p w:rsidR="00BE5628" w:rsidRDefault="00BE5628" w:rsidP="00B62A20">
      <w:pPr>
        <w:jc w:val="right"/>
        <w:rPr>
          <w:rFonts w:ascii="Liberation Serif" w:eastAsia="FreeSans" w:hAnsi="Liberation Serif" w:cs="Liberation Serif"/>
          <w:color w:val="000000"/>
          <w:kern w:val="3"/>
          <w:sz w:val="24"/>
          <w:szCs w:val="24"/>
          <w:lang w:eastAsia="zh-CN" w:bidi="hi-IN"/>
        </w:rPr>
      </w:pPr>
    </w:p>
    <w:p w:rsidR="00090D51" w:rsidRDefault="00090D51">
      <w:pPr>
        <w:rPr>
          <w:rFonts w:ascii="Liberation Serif" w:eastAsia="FreeSans" w:hAnsi="Liberation Serif" w:cs="Liberation Serif"/>
          <w:color w:val="000000"/>
          <w:kern w:val="3"/>
          <w:sz w:val="24"/>
          <w:szCs w:val="24"/>
          <w:lang w:eastAsia="zh-CN" w:bidi="hi-IN"/>
        </w:rPr>
      </w:pPr>
      <w:r>
        <w:rPr>
          <w:rFonts w:ascii="Liberation Serif" w:eastAsia="FreeSans" w:hAnsi="Liberation Serif" w:cs="Liberation Serif"/>
          <w:color w:val="000000"/>
          <w:kern w:val="3"/>
          <w:sz w:val="24"/>
          <w:szCs w:val="24"/>
          <w:lang w:eastAsia="zh-CN" w:bidi="hi-IN"/>
        </w:rPr>
        <w:br w:type="page"/>
      </w:r>
    </w:p>
    <w:p w:rsidR="00AA3B97" w:rsidRDefault="00AA3B97" w:rsidP="00B62A20">
      <w:pPr>
        <w:jc w:val="right"/>
        <w:rPr>
          <w:rFonts w:ascii="Liberation Serif" w:eastAsia="FreeSans" w:hAnsi="Liberation Serif" w:cs="Liberation Serif"/>
          <w:color w:val="000000"/>
          <w:kern w:val="3"/>
          <w:sz w:val="24"/>
          <w:szCs w:val="24"/>
          <w:lang w:eastAsia="zh-CN" w:bidi="hi-IN"/>
        </w:rPr>
      </w:pPr>
    </w:p>
    <w:p w:rsidR="00AA3B97" w:rsidRDefault="00AA3B97" w:rsidP="001048E7">
      <w:pPr>
        <w:pStyle w:val="Standard"/>
        <w:spacing w:line="360" w:lineRule="auto"/>
        <w:ind w:firstLine="567"/>
        <w:jc w:val="both"/>
      </w:pPr>
      <w:r>
        <w:t>Przed rokiem 1838 powstał u zbiegu dzisiejszych ulic Łąkowej i Śluza (v</w:t>
      </w:r>
      <w:r w:rsidRPr="00BE5628">
        <w:t>is</w:t>
      </w:r>
      <w:r>
        <w:t>-à-</w:t>
      </w:r>
      <w:r w:rsidRPr="00BE5628">
        <w:t xml:space="preserve">vis Dworu </w:t>
      </w:r>
      <w:proofErr w:type="spellStart"/>
      <w:r w:rsidRPr="00BE5628">
        <w:t>Uphagenów</w:t>
      </w:r>
      <w:proofErr w:type="spellEnd"/>
      <w:r>
        <w:t xml:space="preserve">) zakład peklowania mięsa. Jego właścicielem była firma </w:t>
      </w:r>
      <w:r w:rsidRPr="00BE5628">
        <w:t xml:space="preserve">Hendrik </w:t>
      </w:r>
      <w:proofErr w:type="spellStart"/>
      <w:r w:rsidRPr="00BE5628">
        <w:t>Soermans</w:t>
      </w:r>
      <w:proofErr w:type="spellEnd"/>
      <w:r w:rsidRPr="00BE5628">
        <w:t xml:space="preserve"> &amp; </w:t>
      </w:r>
      <w:proofErr w:type="spellStart"/>
      <w:r w:rsidRPr="00BE5628">
        <w:t>Soon</w:t>
      </w:r>
      <w:proofErr w:type="spellEnd"/>
      <w:r>
        <w:t>. Zakład zajmował się produkcją konserw mięsnych pod okiem zatrudnionego w tym celu specjalisty z Anglii. Rocznie przerabiano mięso dziesięciu tysięcy świń.</w:t>
      </w:r>
    </w:p>
    <w:p w:rsidR="00AA3B97" w:rsidRDefault="00AA3B97" w:rsidP="00AA3B97">
      <w:pPr>
        <w:pStyle w:val="Standard"/>
        <w:spacing w:line="360" w:lineRule="auto"/>
        <w:jc w:val="both"/>
      </w:pPr>
    </w:p>
    <w:p w:rsidR="00AA3B97" w:rsidRPr="00BE5628" w:rsidRDefault="00AA3B97" w:rsidP="00B62A20">
      <w:pPr>
        <w:jc w:val="right"/>
        <w:rPr>
          <w:rFonts w:ascii="Liberation Serif" w:eastAsia="FreeSans" w:hAnsi="Liberation Serif" w:cs="Liberation Serif"/>
          <w:color w:val="000000"/>
          <w:kern w:val="3"/>
          <w:sz w:val="24"/>
          <w:szCs w:val="24"/>
          <w:lang w:eastAsia="zh-CN" w:bidi="hi-IN"/>
        </w:rPr>
      </w:pP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96"/>
        <w:gridCol w:w="2890"/>
      </w:tblGrid>
      <w:tr w:rsidR="00BE5628" w:rsidRPr="00BE5628" w:rsidTr="00AA3B97">
        <w:tc>
          <w:tcPr>
            <w:tcW w:w="4605" w:type="dxa"/>
          </w:tcPr>
          <w:p w:rsidR="00BE5628" w:rsidRDefault="00AA3B97" w:rsidP="00BE5628">
            <w:pPr>
              <w:pStyle w:val="Standard"/>
              <w:spacing w:line="360" w:lineRule="auto"/>
            </w:pPr>
            <w:r w:rsidRPr="00AA3B97">
              <w:rPr>
                <w:noProof/>
                <w:lang w:eastAsia="pl-PL" w:bidi="ar-SA"/>
              </w:rPr>
              <w:drawing>
                <wp:inline distT="0" distB="0" distL="0" distR="0" wp14:anchorId="41DA19E0" wp14:editId="671F76D9">
                  <wp:extent cx="3923297" cy="5734050"/>
                  <wp:effectExtent l="0" t="0" r="1270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3297" cy="573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5" w:type="dxa"/>
          </w:tcPr>
          <w:p w:rsidR="00BE5628" w:rsidRDefault="00BE5628" w:rsidP="00BE5628">
            <w:pPr>
              <w:pStyle w:val="Standard"/>
              <w:spacing w:line="360" w:lineRule="auto"/>
            </w:pPr>
          </w:p>
          <w:p w:rsidR="00AA3B97" w:rsidRDefault="00AA3B97" w:rsidP="00BE5628">
            <w:pPr>
              <w:pStyle w:val="Standard"/>
              <w:spacing w:line="360" w:lineRule="auto"/>
            </w:pPr>
          </w:p>
          <w:p w:rsidR="00AA3B97" w:rsidRDefault="00AA3B97" w:rsidP="00BE5628">
            <w:pPr>
              <w:pStyle w:val="Standard"/>
              <w:spacing w:line="360" w:lineRule="auto"/>
            </w:pPr>
          </w:p>
          <w:p w:rsidR="00AA3B97" w:rsidRDefault="00AA3B97" w:rsidP="00BE5628">
            <w:pPr>
              <w:pStyle w:val="Standard"/>
              <w:spacing w:line="360" w:lineRule="auto"/>
            </w:pPr>
          </w:p>
          <w:p w:rsidR="00AA3B97" w:rsidRDefault="00AA3B97" w:rsidP="00BE5628">
            <w:pPr>
              <w:pStyle w:val="Standard"/>
              <w:spacing w:line="360" w:lineRule="auto"/>
            </w:pPr>
          </w:p>
          <w:p w:rsidR="00AA3B97" w:rsidRDefault="00AA3B97" w:rsidP="00BE5628">
            <w:pPr>
              <w:pStyle w:val="Standard"/>
              <w:spacing w:line="360" w:lineRule="auto"/>
            </w:pPr>
          </w:p>
          <w:p w:rsidR="00AA3B97" w:rsidRDefault="00AA3B97" w:rsidP="00BE5628">
            <w:pPr>
              <w:pStyle w:val="Standard"/>
              <w:spacing w:line="360" w:lineRule="auto"/>
            </w:pPr>
          </w:p>
          <w:p w:rsidR="00AA3B97" w:rsidRDefault="00AA3B97" w:rsidP="00BE5628">
            <w:pPr>
              <w:pStyle w:val="Standard"/>
              <w:spacing w:line="360" w:lineRule="auto"/>
            </w:pPr>
          </w:p>
          <w:p w:rsidR="00AA3B97" w:rsidRDefault="00AA3B97" w:rsidP="00BE5628">
            <w:pPr>
              <w:pStyle w:val="Standard"/>
              <w:spacing w:line="360" w:lineRule="auto"/>
            </w:pPr>
          </w:p>
          <w:p w:rsidR="00AA3B97" w:rsidRDefault="00AA3B97" w:rsidP="00BE5628">
            <w:pPr>
              <w:pStyle w:val="Standard"/>
              <w:spacing w:line="360" w:lineRule="auto"/>
            </w:pPr>
          </w:p>
          <w:p w:rsidR="00AA3B97" w:rsidRDefault="00AA3B97" w:rsidP="00BE5628">
            <w:pPr>
              <w:pStyle w:val="Standard"/>
              <w:spacing w:line="360" w:lineRule="auto"/>
            </w:pPr>
          </w:p>
          <w:p w:rsidR="00AA3B97" w:rsidRDefault="00AA3B97" w:rsidP="00BE5628">
            <w:pPr>
              <w:pStyle w:val="Standard"/>
              <w:spacing w:line="360" w:lineRule="auto"/>
            </w:pPr>
          </w:p>
          <w:p w:rsidR="00AA3B97" w:rsidRDefault="00AA3B97" w:rsidP="00BE5628">
            <w:pPr>
              <w:pStyle w:val="Standard"/>
              <w:spacing w:line="360" w:lineRule="auto"/>
            </w:pPr>
          </w:p>
          <w:p w:rsidR="00AA3B97" w:rsidRDefault="00AA3B97" w:rsidP="00BE5628">
            <w:pPr>
              <w:pStyle w:val="Standard"/>
              <w:spacing w:line="360" w:lineRule="auto"/>
            </w:pPr>
          </w:p>
          <w:p w:rsidR="009544B7" w:rsidRDefault="009544B7" w:rsidP="00BE5628">
            <w:pPr>
              <w:pStyle w:val="Standard"/>
              <w:spacing w:line="360" w:lineRule="auto"/>
            </w:pPr>
            <w:r>
              <w:sym w:font="Wingdings" w:char="F0E7"/>
            </w:r>
          </w:p>
          <w:p w:rsidR="009544B7" w:rsidRPr="00AA3B97" w:rsidRDefault="009544B7" w:rsidP="00AA3B97">
            <w:pPr>
              <w:autoSpaceDE w:val="0"/>
              <w:autoSpaceDN w:val="0"/>
              <w:adjustRightInd w:val="0"/>
              <w:jc w:val="both"/>
              <w:rPr>
                <w:rFonts w:ascii="Liberation Serif" w:eastAsia="FreeSans" w:hAnsi="Liberation Serif" w:cs="Liberation Serif"/>
                <w:i/>
                <w:color w:val="000000"/>
                <w:kern w:val="3"/>
                <w:sz w:val="24"/>
                <w:szCs w:val="24"/>
                <w:lang w:eastAsia="zh-CN" w:bidi="hi-IN"/>
              </w:rPr>
            </w:pPr>
            <w:r w:rsidRPr="00AA3B97">
              <w:rPr>
                <w:rFonts w:ascii="Liberation Serif" w:eastAsia="FreeSans" w:hAnsi="Liberation Serif" w:cs="Liberation Serif"/>
                <w:i/>
                <w:color w:val="000000"/>
                <w:kern w:val="3"/>
                <w:sz w:val="24"/>
                <w:szCs w:val="24"/>
                <w:lang w:eastAsia="zh-CN" w:bidi="hi-IN"/>
              </w:rPr>
              <w:t>Rok 1901.</w:t>
            </w:r>
          </w:p>
          <w:p w:rsidR="009544B7" w:rsidRPr="00AA3B97" w:rsidRDefault="009544B7" w:rsidP="00AA3B97">
            <w:pPr>
              <w:autoSpaceDE w:val="0"/>
              <w:autoSpaceDN w:val="0"/>
              <w:adjustRightInd w:val="0"/>
              <w:jc w:val="both"/>
              <w:rPr>
                <w:rFonts w:ascii="Liberation Serif" w:eastAsia="FreeSans" w:hAnsi="Liberation Serif" w:cs="Liberation Serif"/>
                <w:i/>
                <w:color w:val="000000"/>
                <w:kern w:val="3"/>
                <w:sz w:val="24"/>
                <w:szCs w:val="24"/>
                <w:lang w:eastAsia="zh-CN" w:bidi="hi-IN"/>
              </w:rPr>
            </w:pPr>
            <w:r w:rsidRPr="00AA3B97">
              <w:rPr>
                <w:rFonts w:ascii="Liberation Serif" w:eastAsia="FreeSans" w:hAnsi="Liberation Serif" w:cs="Liberation Serif"/>
                <w:i/>
                <w:color w:val="000000"/>
                <w:kern w:val="3"/>
                <w:sz w:val="24"/>
                <w:szCs w:val="24"/>
                <w:lang w:eastAsia="zh-CN" w:bidi="hi-IN"/>
              </w:rPr>
              <w:t xml:space="preserve">Budynek na ulicy Śluza 2, który łącznie z budynkiem na ulicy Łąkowej </w:t>
            </w:r>
            <w:r w:rsidR="00AA3B97" w:rsidRPr="00AA3B97">
              <w:rPr>
                <w:rFonts w:ascii="Liberation Serif" w:eastAsia="FreeSans" w:hAnsi="Liberation Serif" w:cs="Liberation Serif"/>
                <w:i/>
                <w:color w:val="000000"/>
                <w:kern w:val="3"/>
                <w:sz w:val="24"/>
                <w:szCs w:val="24"/>
                <w:lang w:eastAsia="zh-CN" w:bidi="hi-IN"/>
              </w:rPr>
              <w:t>43</w:t>
            </w:r>
            <w:r w:rsidRPr="00AA3B97">
              <w:rPr>
                <w:rFonts w:ascii="Liberation Serif" w:eastAsia="FreeSans" w:hAnsi="Liberation Serif" w:cs="Liberation Serif"/>
                <w:i/>
                <w:color w:val="000000"/>
                <w:kern w:val="3"/>
                <w:sz w:val="24"/>
                <w:szCs w:val="24"/>
                <w:lang w:eastAsia="zh-CN" w:bidi="hi-IN"/>
              </w:rPr>
              <w:t xml:space="preserve"> mógł zajmować miejsce po zakładzie peklowania mi</w:t>
            </w:r>
            <w:r w:rsidR="006A4CE9" w:rsidRPr="00AA3B97">
              <w:rPr>
                <w:rFonts w:ascii="Liberation Serif" w:eastAsia="FreeSans" w:hAnsi="Liberation Serif" w:cs="Liberation Serif"/>
                <w:i/>
                <w:color w:val="000000"/>
                <w:kern w:val="3"/>
                <w:sz w:val="24"/>
                <w:szCs w:val="24"/>
                <w:lang w:eastAsia="zh-CN" w:bidi="hi-IN"/>
              </w:rPr>
              <w:t>ę</w:t>
            </w:r>
            <w:r w:rsidRPr="00AA3B97">
              <w:rPr>
                <w:rFonts w:ascii="Liberation Serif" w:eastAsia="FreeSans" w:hAnsi="Liberation Serif" w:cs="Liberation Serif"/>
                <w:i/>
                <w:color w:val="000000"/>
                <w:kern w:val="3"/>
                <w:sz w:val="24"/>
                <w:szCs w:val="24"/>
                <w:lang w:eastAsia="zh-CN" w:bidi="hi-IN"/>
              </w:rPr>
              <w:t>sa.</w:t>
            </w:r>
          </w:p>
          <w:p w:rsidR="00AA3B97" w:rsidRPr="00AA3B97" w:rsidRDefault="00AA3B97" w:rsidP="00AA3B97">
            <w:pPr>
              <w:autoSpaceDE w:val="0"/>
              <w:autoSpaceDN w:val="0"/>
              <w:adjustRightInd w:val="0"/>
              <w:jc w:val="both"/>
              <w:rPr>
                <w:rFonts w:ascii="Liberation Serif" w:eastAsia="FreeSans" w:hAnsi="Liberation Serif" w:cs="Liberation Serif"/>
                <w:i/>
                <w:color w:val="000000"/>
                <w:kern w:val="3"/>
                <w:sz w:val="24"/>
                <w:szCs w:val="24"/>
                <w:lang w:eastAsia="zh-CN" w:bidi="hi-IN"/>
              </w:rPr>
            </w:pPr>
          </w:p>
          <w:p w:rsidR="009544B7" w:rsidRDefault="009544B7" w:rsidP="00AA3B97">
            <w:pPr>
              <w:autoSpaceDE w:val="0"/>
              <w:autoSpaceDN w:val="0"/>
              <w:adjustRightInd w:val="0"/>
              <w:jc w:val="both"/>
            </w:pPr>
            <w:r w:rsidRPr="00AA3B97">
              <w:rPr>
                <w:rFonts w:ascii="Liberation Serif" w:eastAsia="FreeSans" w:hAnsi="Liberation Serif" w:cs="Liberation Serif"/>
                <w:i/>
                <w:color w:val="000000"/>
                <w:kern w:val="3"/>
                <w:sz w:val="24"/>
                <w:szCs w:val="24"/>
                <w:lang w:eastAsia="zh-CN" w:bidi="hi-IN"/>
              </w:rPr>
              <w:t xml:space="preserve">Zdjęcie z kolekcji </w:t>
            </w:r>
            <w:r w:rsidRPr="00AA3B97">
              <w:rPr>
                <w:rFonts w:ascii="Liberation Serif" w:eastAsia="FreeSans" w:cs="Liberation Serif"/>
                <w:i/>
                <w:sz w:val="24"/>
                <w:szCs w:val="24"/>
              </w:rPr>
              <w:t>Opowiadaczy Historii.</w:t>
            </w:r>
          </w:p>
        </w:tc>
      </w:tr>
    </w:tbl>
    <w:p w:rsidR="00BE5628" w:rsidRDefault="00BE5628" w:rsidP="00BE5628">
      <w:pPr>
        <w:pStyle w:val="Standard"/>
        <w:spacing w:line="360" w:lineRule="auto"/>
      </w:pPr>
    </w:p>
    <w:p w:rsidR="00BE5628" w:rsidRDefault="00BE5628" w:rsidP="00BE5628">
      <w:pPr>
        <w:pStyle w:val="Standard"/>
        <w:spacing w:line="360" w:lineRule="auto"/>
      </w:pPr>
    </w:p>
    <w:p w:rsidR="00BE5628" w:rsidRDefault="00AA3B97" w:rsidP="00B62A20">
      <w:pPr>
        <w:jc w:val="right"/>
        <w:rPr>
          <w:b/>
          <w:sz w:val="32"/>
          <w:szCs w:val="32"/>
          <w:lang w:eastAsia="zh-CN" w:bidi="hi-IN"/>
        </w:rPr>
      </w:pPr>
      <w:r>
        <w:rPr>
          <w:b/>
          <w:sz w:val="32"/>
          <w:szCs w:val="32"/>
          <w:lang w:eastAsia="zh-CN" w:bidi="hi-IN"/>
        </w:rPr>
        <w:t>Str. 31</w:t>
      </w:r>
    </w:p>
    <w:p w:rsidR="00090D51" w:rsidRDefault="00090D51" w:rsidP="00B62A20">
      <w:pPr>
        <w:jc w:val="right"/>
        <w:rPr>
          <w:b/>
          <w:sz w:val="32"/>
          <w:szCs w:val="32"/>
          <w:lang w:eastAsia="zh-CN" w:bidi="hi-IN"/>
        </w:rPr>
      </w:pPr>
    </w:p>
    <w:p w:rsidR="00FB1ADB" w:rsidRDefault="00FB1ADB" w:rsidP="00FB1ADB">
      <w:pPr>
        <w:jc w:val="both"/>
        <w:rPr>
          <w:rFonts w:ascii="Liberation Serif" w:eastAsia="FreeSans" w:hAnsi="Liberation Serif" w:cs="Liberation Serif"/>
          <w:color w:val="000000"/>
          <w:kern w:val="3"/>
          <w:sz w:val="24"/>
          <w:szCs w:val="24"/>
          <w:lang w:eastAsia="zh-CN" w:bidi="hi-IN"/>
        </w:rPr>
      </w:pPr>
    </w:p>
    <w:p w:rsidR="00FB1ADB" w:rsidRDefault="00FB1ADB" w:rsidP="005660E8">
      <w:pPr>
        <w:jc w:val="center"/>
        <w:rPr>
          <w:rFonts w:ascii="Liberation Serif" w:eastAsia="FreeSans" w:hAnsi="Liberation Serif" w:cs="Liberation Serif"/>
          <w:color w:val="000000"/>
          <w:kern w:val="3"/>
          <w:sz w:val="24"/>
          <w:szCs w:val="24"/>
          <w:lang w:eastAsia="zh-CN" w:bidi="hi-IN"/>
        </w:rPr>
      </w:pPr>
      <w:r w:rsidRPr="00FB1ADB">
        <w:rPr>
          <w:rFonts w:ascii="Liberation Serif" w:eastAsia="FreeSans" w:hAnsi="Liberation Serif" w:cs="Liberation Serif"/>
          <w:noProof/>
          <w:color w:val="000000"/>
          <w:kern w:val="3"/>
          <w:sz w:val="24"/>
          <w:szCs w:val="24"/>
          <w:lang w:eastAsia="pl-PL"/>
        </w:rPr>
        <w:drawing>
          <wp:inline distT="0" distB="0" distL="0" distR="0" wp14:anchorId="4260F205" wp14:editId="2CF15A37">
            <wp:extent cx="5759450" cy="5572693"/>
            <wp:effectExtent l="0" t="0" r="0" b="952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572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557" w:rsidRDefault="00A22557" w:rsidP="001048E7">
      <w:pPr>
        <w:pStyle w:val="Standard"/>
        <w:spacing w:line="360" w:lineRule="auto"/>
        <w:ind w:firstLine="567"/>
        <w:jc w:val="both"/>
      </w:pPr>
    </w:p>
    <w:p w:rsidR="00FB1ADB" w:rsidRDefault="00FB1ADB" w:rsidP="001048E7">
      <w:pPr>
        <w:pStyle w:val="Standard"/>
        <w:spacing w:line="360" w:lineRule="auto"/>
        <w:ind w:firstLine="567"/>
        <w:jc w:val="both"/>
      </w:pPr>
      <w:r w:rsidRPr="00FB1ADB">
        <w:t xml:space="preserve">Druga połowa XIX wieku to dla Dolnego Miasta okres jego znaczącej militaryzacji. Powstałe w cieniu fortyfikacji, z wielkimi zakładami przemysłowymi produkującymi na potrzeby wojska, zaopatrzone zostało w zlokalizowane u jego północnego skraju dwa duże obiekty koszarowe. W latach 1868–1873 powstał znacznych rozmiarów, zbudowany z żółtej cegły budynek koszar, określanych mianem </w:t>
      </w:r>
      <w:proofErr w:type="spellStart"/>
      <w:r w:rsidRPr="00FB1ADB">
        <w:t>Reiter-Kaserne</w:t>
      </w:r>
      <w:proofErr w:type="spellEnd"/>
      <w:r w:rsidRPr="00FB1ADB">
        <w:t>. Nazwa to o tyle myląca, że w tłumaczeniu oznacza „koszary kawalerii” (dosł. 'koszary jeźdźców'), podczas gdy stacjonowały w nich jedynie jednostki piesze – początkowo grenadierzy z 4. i 5. regimentu, a od 1881 roku część 1</w:t>
      </w:r>
      <w:r w:rsidR="008D2BD3">
        <w:t>2</w:t>
      </w:r>
      <w:r w:rsidRPr="00FB1ADB">
        <w:t>. regimentu piechoty.</w:t>
      </w:r>
    </w:p>
    <w:p w:rsidR="00FB1ADB" w:rsidRDefault="00FB1ADB" w:rsidP="00FB1ADB">
      <w:pPr>
        <w:jc w:val="both"/>
        <w:rPr>
          <w:rFonts w:ascii="Liberation Serif" w:eastAsia="FreeSans" w:hAnsi="Liberation Serif" w:cs="Liberation Serif"/>
          <w:color w:val="000000"/>
          <w:kern w:val="3"/>
          <w:sz w:val="24"/>
          <w:szCs w:val="24"/>
          <w:lang w:eastAsia="zh-CN" w:bidi="hi-IN"/>
        </w:rPr>
      </w:pPr>
    </w:p>
    <w:p w:rsidR="008E6F87" w:rsidRDefault="00FB1ADB" w:rsidP="00FB1ADB">
      <w:pPr>
        <w:jc w:val="right"/>
        <w:rPr>
          <w:b/>
          <w:sz w:val="32"/>
          <w:szCs w:val="32"/>
          <w:lang w:eastAsia="zh-CN" w:bidi="hi-IN"/>
        </w:rPr>
      </w:pPr>
      <w:r>
        <w:rPr>
          <w:b/>
          <w:sz w:val="32"/>
          <w:szCs w:val="32"/>
          <w:lang w:eastAsia="zh-CN" w:bidi="hi-IN"/>
        </w:rPr>
        <w:t>Str. 47</w:t>
      </w:r>
    </w:p>
    <w:p w:rsidR="00FB1ADB" w:rsidRDefault="008E6F87" w:rsidP="005660E8">
      <w:pPr>
        <w:jc w:val="center"/>
        <w:rPr>
          <w:b/>
          <w:sz w:val="32"/>
          <w:szCs w:val="32"/>
          <w:lang w:eastAsia="zh-CN" w:bidi="hi-IN"/>
        </w:rPr>
      </w:pPr>
      <w:r w:rsidRPr="008E6F87">
        <w:rPr>
          <w:b/>
          <w:noProof/>
          <w:sz w:val="32"/>
          <w:szCs w:val="32"/>
          <w:lang w:eastAsia="pl-PL"/>
        </w:rPr>
        <w:lastRenderedPageBreak/>
        <w:drawing>
          <wp:inline distT="0" distB="0" distL="0" distR="0" wp14:anchorId="626FC6E1" wp14:editId="4D296F3F">
            <wp:extent cx="4943475" cy="4211361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44601" cy="421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0E8" w:rsidRDefault="005660E8" w:rsidP="001048E7">
      <w:pPr>
        <w:pStyle w:val="Standard"/>
        <w:spacing w:line="360" w:lineRule="auto"/>
        <w:ind w:firstLine="567"/>
        <w:jc w:val="both"/>
      </w:pPr>
      <w:r>
        <w:t>Jedną z widocznych na Dolnym Mieście oznak gospodarczej koniunktury było zlokalizowanie tam przedsiębiorstwa, którego zadaniem było objęcie kontrolą całości produkcji i obrotu wyrobami tytoniowymi na terenie Wolnego Miasta. Tradycje przetwórstwa tytoniu sięgały w Gdańsku XVIII wieku, a u progu okresu międzywojennego funkcjonowało w samym Mieście 49 firm aktywnych w tej branży. Specyficzny układ geopolityczny, w jakim przyszło funkcjonować Wolnemu Miastu oraz podobne rozwiązania wprowadzane przez okoliczne państwa, skłonił Senat do objęcia obrotu tytoniem i jego pochodnymi państwowym monopolem. Realizacje zadań w tym zakresie powierzono spółce banków z większościowym udziałem banków gdańskich, ale również polskich, niemieckich i innych. Spółka pod nazwą Gdański Monopol Tytoniowy S.A. (</w:t>
      </w:r>
      <w:proofErr w:type="spellStart"/>
      <w:r>
        <w:rPr>
          <w:i/>
          <w:iCs/>
        </w:rPr>
        <w:t>Danziger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Tabakmonopol</w:t>
      </w:r>
      <w:proofErr w:type="spellEnd"/>
      <w:r>
        <w:rPr>
          <w:i/>
          <w:iCs/>
        </w:rPr>
        <w:t xml:space="preserve"> A.G.</w:t>
      </w:r>
      <w:r>
        <w:t xml:space="preserve">) rozpoczęła działalność w 1927 roku. Funkcjonowanie firmy podlegało nadzorowi władz poprzez wyznaczonego w tym celu senatora. Na jej potrzeby wydzielono północno-wschodnią część dawnej fabryki karabinów przy dzisiejszej ulicy Łąkowej. Po wyburzeniu dawnych zabudowań fabrycznych wzniesiono w ich miejscu w 1928 r. okazały, zaprojektowany przez Adolfa </w:t>
      </w:r>
      <w:proofErr w:type="spellStart"/>
      <w:r>
        <w:t>Bielefeldta</w:t>
      </w:r>
      <w:proofErr w:type="spellEnd"/>
      <w:r>
        <w:t xml:space="preserve"> i Wilhelma </w:t>
      </w:r>
      <w:proofErr w:type="spellStart"/>
      <w:r>
        <w:t>Köstera</w:t>
      </w:r>
      <w:proofErr w:type="spellEnd"/>
      <w:r>
        <w:t xml:space="preserve">, modernistyczny gmach, którego fasada w charakterystyczny sposób łukiem podąża za wygiętą w tym miejscu ulicą. Prowadziło do niego i cały czas prowadzi jedno </w:t>
      </w:r>
      <w:r w:rsidR="00A22557">
        <w:t xml:space="preserve">główne </w:t>
      </w:r>
      <w:r>
        <w:t>wejście frontowe.</w:t>
      </w:r>
    </w:p>
    <w:p w:rsidR="008E6F87" w:rsidRDefault="008E6F87" w:rsidP="008E6F87">
      <w:pPr>
        <w:jc w:val="right"/>
        <w:rPr>
          <w:b/>
          <w:sz w:val="32"/>
          <w:szCs w:val="32"/>
          <w:lang w:eastAsia="zh-CN" w:bidi="hi-IN"/>
        </w:rPr>
      </w:pPr>
      <w:r>
        <w:rPr>
          <w:b/>
          <w:sz w:val="32"/>
          <w:szCs w:val="32"/>
          <w:lang w:eastAsia="zh-CN" w:bidi="hi-IN"/>
        </w:rPr>
        <w:t xml:space="preserve">Str. </w:t>
      </w:r>
      <w:r w:rsidR="005660E8">
        <w:rPr>
          <w:b/>
          <w:sz w:val="32"/>
          <w:szCs w:val="32"/>
          <w:lang w:eastAsia="zh-CN" w:bidi="hi-IN"/>
        </w:rPr>
        <w:t>60</w:t>
      </w:r>
    </w:p>
    <w:p w:rsidR="00FB1ADB" w:rsidRDefault="00FB1ADB" w:rsidP="00FB1ADB">
      <w:pPr>
        <w:jc w:val="both"/>
        <w:rPr>
          <w:rFonts w:ascii="Liberation Serif" w:eastAsia="FreeSans" w:hAnsi="Liberation Serif" w:cs="Liberation Serif"/>
          <w:color w:val="000000"/>
          <w:kern w:val="3"/>
          <w:sz w:val="24"/>
          <w:szCs w:val="24"/>
          <w:lang w:eastAsia="zh-CN" w:bidi="hi-IN"/>
        </w:rPr>
      </w:pPr>
    </w:p>
    <w:p w:rsidR="00756EE7" w:rsidRDefault="00756EE7" w:rsidP="00FB1ADB">
      <w:pPr>
        <w:jc w:val="both"/>
        <w:rPr>
          <w:rFonts w:ascii="Liberation Serif" w:eastAsia="FreeSans" w:hAnsi="Liberation Serif" w:cs="Liberation Serif"/>
          <w:color w:val="000000"/>
          <w:kern w:val="3"/>
          <w:sz w:val="24"/>
          <w:szCs w:val="24"/>
          <w:lang w:eastAsia="zh-CN" w:bidi="hi-IN"/>
        </w:rPr>
      </w:pPr>
    </w:p>
    <w:p w:rsidR="00756EE7" w:rsidRDefault="00756EE7" w:rsidP="00FB1ADB">
      <w:pPr>
        <w:jc w:val="both"/>
        <w:rPr>
          <w:rFonts w:ascii="Liberation Serif" w:eastAsia="FreeSans" w:hAnsi="Liberation Serif" w:cs="Liberation Serif"/>
          <w:color w:val="000000"/>
          <w:kern w:val="3"/>
          <w:sz w:val="24"/>
          <w:szCs w:val="24"/>
          <w:lang w:eastAsia="zh-CN" w:bidi="hi-IN"/>
        </w:rPr>
      </w:pPr>
      <w:r w:rsidRPr="00756EE7">
        <w:rPr>
          <w:rFonts w:ascii="Liberation Serif" w:eastAsia="FreeSans" w:hAnsi="Liberation Serif" w:cs="Liberation Serif"/>
          <w:noProof/>
          <w:color w:val="000000"/>
          <w:kern w:val="3"/>
          <w:sz w:val="24"/>
          <w:szCs w:val="24"/>
          <w:lang w:eastAsia="pl-PL"/>
        </w:rPr>
        <w:drawing>
          <wp:inline distT="0" distB="0" distL="0" distR="0" wp14:anchorId="60CC2176" wp14:editId="6D368CF8">
            <wp:extent cx="5759450" cy="4218861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18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EE7" w:rsidRDefault="00756EE7" w:rsidP="00756EE7">
      <w:pPr>
        <w:pStyle w:val="Standard"/>
        <w:spacing w:line="360" w:lineRule="auto"/>
      </w:pPr>
    </w:p>
    <w:p w:rsidR="00756EE7" w:rsidRDefault="00756EE7" w:rsidP="001048E7">
      <w:pPr>
        <w:pStyle w:val="Standard"/>
        <w:spacing w:line="360" w:lineRule="auto"/>
        <w:ind w:firstLine="567"/>
        <w:jc w:val="both"/>
      </w:pPr>
      <w:r>
        <w:t xml:space="preserve">Była to okolica atrakcyjna dla ofiar oblężeń, </w:t>
      </w:r>
      <w:r w:rsidR="003A58B9">
        <w:t xml:space="preserve">która </w:t>
      </w:r>
      <w:r>
        <w:t xml:space="preserve">ze względu na oddalenie od potencjalnych stanowisk ogniowych nieprzyjaciela do połowy XIX wieku była względnie bezpieczna w razie pojawienia się kolejnego </w:t>
      </w:r>
      <w:r w:rsidR="003A58B9">
        <w:t xml:space="preserve">tego typu </w:t>
      </w:r>
      <w:r>
        <w:t xml:space="preserve">niebezpieczeństwa. Zapewne te właśnie walory skłoniły słynną rodzinę gdańskich kupców do zlokalizowania </w:t>
      </w:r>
      <w:r w:rsidR="003A58B9">
        <w:t>na Dolnym Mieście</w:t>
      </w:r>
      <w:r>
        <w:t xml:space="preserve"> jednej ze swoich siedzib. Dwór </w:t>
      </w:r>
      <w:proofErr w:type="spellStart"/>
      <w:r>
        <w:t>Uphagenów</w:t>
      </w:r>
      <w:proofErr w:type="spellEnd"/>
      <w:r>
        <w:t xml:space="preserve">, powstały na niemalże hektarowej działce, umiejscowiono u zbiegu ówczesnych </w:t>
      </w:r>
      <w:proofErr w:type="spellStart"/>
      <w:r>
        <w:rPr>
          <w:i/>
          <w:iCs/>
        </w:rPr>
        <w:t>Schleusengasse</w:t>
      </w:r>
      <w:proofErr w:type="spellEnd"/>
      <w:r>
        <w:t xml:space="preserve"> i </w:t>
      </w:r>
      <w:proofErr w:type="spellStart"/>
      <w:r>
        <w:rPr>
          <w:i/>
          <w:iCs/>
        </w:rPr>
        <w:t>Weidengasse</w:t>
      </w:r>
      <w:proofErr w:type="spellEnd"/>
      <w:r>
        <w:t xml:space="preserve">, tj. dzisiejszych ulic </w:t>
      </w:r>
      <w:proofErr w:type="spellStart"/>
      <w:r>
        <w:t>Kieturakisa</w:t>
      </w:r>
      <w:proofErr w:type="spellEnd"/>
      <w:r>
        <w:t xml:space="preserve"> i Łąkowej. </w:t>
      </w:r>
      <w:r w:rsidR="00EA0017">
        <w:t xml:space="preserve">Budynek ten od samego początku nosił numer </w:t>
      </w:r>
      <w:r w:rsidR="009D37B1">
        <w:t xml:space="preserve">domu </w:t>
      </w:r>
      <w:r w:rsidR="00EA0017">
        <w:t>1</w:t>
      </w:r>
      <w:r w:rsidR="009D37B1">
        <w:t>1, a jako jednostka szpitalna - numer 1</w:t>
      </w:r>
      <w:r w:rsidR="00EA0017">
        <w:t xml:space="preserve">. </w:t>
      </w:r>
      <w:r>
        <w:t>Posiadłość ta klasyfikowana bywa zwykle jako letnia rezydencja, co wydaje się mało uzasadnione, jeśli wziąć pod uwagę panującą w XIX wieku opinię o szkodliwości „wyziewów” zarówno kanałów, jak i całej podmokłej okolicy. Sądzić można raczej, że stanowiła ona rodzaj bezpiecznego schronienia na wypadek konieczności ewakuacji z części Gdańska zagrożonych ostrzałem.</w:t>
      </w:r>
      <w:r w:rsidR="003A58B9">
        <w:t xml:space="preserve"> </w:t>
      </w:r>
    </w:p>
    <w:p w:rsidR="00756EE7" w:rsidRDefault="00756EE7" w:rsidP="00FB1ADB">
      <w:pPr>
        <w:jc w:val="both"/>
        <w:rPr>
          <w:rFonts w:ascii="Liberation Serif" w:eastAsia="FreeSans" w:hAnsi="Liberation Serif" w:cs="Liberation Serif"/>
          <w:color w:val="000000"/>
          <w:kern w:val="3"/>
          <w:sz w:val="24"/>
          <w:szCs w:val="24"/>
          <w:lang w:eastAsia="zh-CN" w:bidi="hi-IN"/>
        </w:rPr>
      </w:pPr>
    </w:p>
    <w:p w:rsidR="00756EE7" w:rsidRDefault="00756EE7" w:rsidP="00756EE7">
      <w:pPr>
        <w:jc w:val="right"/>
        <w:rPr>
          <w:b/>
          <w:sz w:val="32"/>
          <w:szCs w:val="32"/>
          <w:lang w:eastAsia="zh-CN" w:bidi="hi-IN"/>
        </w:rPr>
      </w:pPr>
      <w:r>
        <w:rPr>
          <w:b/>
          <w:sz w:val="32"/>
          <w:szCs w:val="32"/>
          <w:lang w:eastAsia="zh-CN" w:bidi="hi-IN"/>
        </w:rPr>
        <w:t>Str. 19</w:t>
      </w:r>
    </w:p>
    <w:p w:rsidR="00756EE7" w:rsidRDefault="00756EE7" w:rsidP="00FB1ADB">
      <w:pPr>
        <w:jc w:val="both"/>
        <w:rPr>
          <w:rFonts w:ascii="Liberation Serif" w:eastAsia="FreeSans" w:hAnsi="Liberation Serif" w:cs="Liberation Serif"/>
          <w:color w:val="000000"/>
          <w:kern w:val="3"/>
          <w:sz w:val="24"/>
          <w:szCs w:val="24"/>
          <w:lang w:eastAsia="zh-CN" w:bidi="hi-IN"/>
        </w:rPr>
      </w:pPr>
    </w:p>
    <w:p w:rsidR="009E614A" w:rsidRDefault="009E614A" w:rsidP="009E614A">
      <w:pPr>
        <w:pStyle w:val="Standard"/>
        <w:spacing w:line="360" w:lineRule="auto"/>
        <w:jc w:val="both"/>
      </w:pPr>
    </w:p>
    <w:p w:rsidR="009E614A" w:rsidRDefault="009E614A" w:rsidP="009E614A">
      <w:pPr>
        <w:pStyle w:val="Standard"/>
        <w:spacing w:line="360" w:lineRule="auto"/>
        <w:jc w:val="both"/>
      </w:pP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5"/>
        <w:gridCol w:w="4605"/>
      </w:tblGrid>
      <w:tr w:rsidR="007841AC" w:rsidTr="007841AC">
        <w:tc>
          <w:tcPr>
            <w:tcW w:w="4605" w:type="dxa"/>
          </w:tcPr>
          <w:p w:rsidR="007841AC" w:rsidRDefault="007841AC" w:rsidP="009E614A">
            <w:pPr>
              <w:pStyle w:val="Standard"/>
              <w:spacing w:line="360" w:lineRule="auto"/>
              <w:jc w:val="both"/>
            </w:pPr>
            <w:r w:rsidRPr="007841AC">
              <w:rPr>
                <w:noProof/>
                <w:lang w:eastAsia="pl-PL" w:bidi="ar-SA"/>
              </w:rPr>
              <w:drawing>
                <wp:inline distT="0" distB="0" distL="0" distR="0" wp14:anchorId="0806398C" wp14:editId="236BE0C5">
                  <wp:extent cx="2677160" cy="8258810"/>
                  <wp:effectExtent l="0" t="0" r="8890" b="889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160" cy="8258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5" w:type="dxa"/>
          </w:tcPr>
          <w:p w:rsidR="007841AC" w:rsidRDefault="007841AC" w:rsidP="001048E7">
            <w:pPr>
              <w:pStyle w:val="Standard"/>
              <w:spacing w:line="360" w:lineRule="auto"/>
              <w:ind w:firstLine="567"/>
              <w:jc w:val="both"/>
            </w:pPr>
            <w:r>
              <w:t xml:space="preserve">Koniec pierwszej wojny światowej i utworzenie Wolnego Miasta oznaczał dla mieszkańców Dolnego Miasta zamknięcie dwóch wojskowych fabryk, które dawały zatrudnienie wielu spośród nich. Ogromne kubatury Królewskiej Fabryki Karabinów wykorzystano dla dziesiątków firm, z których jedne zabłysły i zgasły na firmamencie gdańskiej przedsiębiorczości, inne na trwałe wpisały się w gospodarczy krajobraz. </w:t>
            </w:r>
            <w:proofErr w:type="spellStart"/>
            <w:r>
              <w:t>Dolnomiejskie</w:t>
            </w:r>
            <w:proofErr w:type="spellEnd"/>
            <w:r>
              <w:t xml:space="preserve"> epizody w tym okresie miały zakłady takie jak istniejąca po dziś dzień </w:t>
            </w:r>
            <w:proofErr w:type="spellStart"/>
            <w:r>
              <w:t>Dagoma</w:t>
            </w:r>
            <w:proofErr w:type="spellEnd"/>
            <w:r>
              <w:t xml:space="preserve"> czy fabryka akumulatorów </w:t>
            </w:r>
            <w:proofErr w:type="spellStart"/>
            <w:r>
              <w:t>Daimon</w:t>
            </w:r>
            <w:proofErr w:type="spellEnd"/>
            <w:r>
              <w:t xml:space="preserve">, fabryka margaryny </w:t>
            </w:r>
            <w:proofErr w:type="spellStart"/>
            <w:r>
              <w:t>Amada</w:t>
            </w:r>
            <w:proofErr w:type="spellEnd"/>
            <w:r>
              <w:t xml:space="preserve">, </w:t>
            </w:r>
            <w:proofErr w:type="spellStart"/>
            <w:r>
              <w:t>Scott&amp;Bowne</w:t>
            </w:r>
            <w:proofErr w:type="spellEnd"/>
            <w:r>
              <w:t xml:space="preserve"> produkujące emulsję z kota czy zakład organmistrzowskiej firmy Goebel – wykonawcy renowacji organów oliwskich w latach 30. Z pomieszczeń fabryki korzystały także fabryki kopert, opakowań tekturowych, butów, maszyn drukarskich, słodyczy, papierosów, świec, wyrobów optycznych i farmaceutycznych, a także warsztat Fiata, stolarnia, introligatornia, a nawet konsulat Brazylii.</w:t>
            </w:r>
          </w:p>
          <w:p w:rsidR="007841AC" w:rsidRPr="007841AC" w:rsidRDefault="007841AC" w:rsidP="007841AC">
            <w:pPr>
              <w:rPr>
                <w:b/>
                <w:sz w:val="32"/>
                <w:szCs w:val="32"/>
                <w:lang w:eastAsia="zh-CN" w:bidi="hi-IN"/>
              </w:rPr>
            </w:pPr>
            <w:r w:rsidRPr="007841AC">
              <w:rPr>
                <w:noProof/>
                <w:lang w:eastAsia="pl-PL"/>
              </w:rPr>
              <w:drawing>
                <wp:inline distT="0" distB="0" distL="0" distR="0" wp14:anchorId="258C7B72" wp14:editId="19687E69">
                  <wp:extent cx="1600200" cy="1751570"/>
                  <wp:effectExtent l="0" t="0" r="0" b="127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8092" cy="1760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2"/>
                <w:szCs w:val="32"/>
                <w:lang w:eastAsia="zh-CN" w:bidi="hi-IN"/>
              </w:rPr>
              <w:t xml:space="preserve">        Str. 55</w:t>
            </w:r>
          </w:p>
        </w:tc>
      </w:tr>
    </w:tbl>
    <w:p w:rsidR="007841AC" w:rsidRDefault="007841AC" w:rsidP="009E614A">
      <w:pPr>
        <w:pStyle w:val="Standard"/>
        <w:spacing w:line="360" w:lineRule="auto"/>
        <w:jc w:val="both"/>
      </w:pPr>
    </w:p>
    <w:p w:rsidR="009E614A" w:rsidRDefault="009E614A" w:rsidP="009E614A">
      <w:pPr>
        <w:pStyle w:val="Standard"/>
        <w:spacing w:line="360" w:lineRule="auto"/>
        <w:jc w:val="both"/>
      </w:pPr>
    </w:p>
    <w:p w:rsidR="009E614A" w:rsidRDefault="009E614A" w:rsidP="00FB1ADB">
      <w:pPr>
        <w:jc w:val="both"/>
        <w:rPr>
          <w:rFonts w:ascii="Liberation Serif" w:eastAsia="FreeSans" w:hAnsi="Liberation Serif" w:cs="Liberation Serif"/>
          <w:color w:val="000000"/>
          <w:kern w:val="3"/>
          <w:sz w:val="24"/>
          <w:szCs w:val="24"/>
          <w:lang w:eastAsia="zh-CN" w:bidi="hi-IN"/>
        </w:rPr>
      </w:pPr>
    </w:p>
    <w:p w:rsidR="009E614A" w:rsidRDefault="003D5E09" w:rsidP="00FB1ADB">
      <w:pPr>
        <w:jc w:val="both"/>
        <w:rPr>
          <w:rFonts w:ascii="Liberation Serif" w:eastAsia="FreeSans" w:hAnsi="Liberation Serif" w:cs="Liberation Serif"/>
          <w:color w:val="000000"/>
          <w:kern w:val="3"/>
          <w:sz w:val="24"/>
          <w:szCs w:val="24"/>
          <w:lang w:eastAsia="zh-CN" w:bidi="hi-IN"/>
        </w:rPr>
      </w:pPr>
      <w:r w:rsidRPr="003D5E09">
        <w:rPr>
          <w:rFonts w:ascii="Liberation Serif" w:eastAsia="FreeSans" w:hAnsi="Liberation Serif" w:cs="Liberation Serif"/>
          <w:noProof/>
          <w:color w:val="000000"/>
          <w:kern w:val="3"/>
          <w:sz w:val="24"/>
          <w:szCs w:val="24"/>
          <w:lang w:eastAsia="pl-PL"/>
        </w:rPr>
        <w:drawing>
          <wp:inline distT="0" distB="0" distL="0" distR="0" wp14:anchorId="4826F81B" wp14:editId="1A08EF44">
            <wp:extent cx="5010150" cy="3486150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E09" w:rsidRDefault="003D5E09" w:rsidP="00FB1ADB">
      <w:pPr>
        <w:jc w:val="both"/>
        <w:rPr>
          <w:rFonts w:ascii="Liberation Serif" w:eastAsia="FreeSans" w:hAnsi="Liberation Serif" w:cs="Liberation Serif"/>
          <w:color w:val="000000"/>
          <w:kern w:val="3"/>
          <w:sz w:val="24"/>
          <w:szCs w:val="24"/>
          <w:lang w:eastAsia="zh-CN" w:bidi="hi-IN"/>
        </w:rPr>
      </w:pPr>
    </w:p>
    <w:p w:rsidR="003D5E09" w:rsidRDefault="003D5E09" w:rsidP="0003038B">
      <w:pPr>
        <w:pStyle w:val="Standard"/>
        <w:spacing w:line="360" w:lineRule="auto"/>
        <w:ind w:firstLine="567"/>
        <w:jc w:val="both"/>
      </w:pPr>
      <w:r w:rsidRPr="003D5E09">
        <w:t>Wzrastająca prędkość życia, zwłaszcza na obszarach przemysłowych, a takim było XIX-wieczne Dolne Miasto, wymagała wprowadzenia nowoczesnych rozwiązań komunikacyjnych.</w:t>
      </w:r>
    </w:p>
    <w:p w:rsidR="00E7357C" w:rsidRDefault="00E7357C" w:rsidP="00E7357C">
      <w:pPr>
        <w:pStyle w:val="Standard"/>
        <w:spacing w:line="360" w:lineRule="auto"/>
        <w:ind w:firstLine="567"/>
        <w:jc w:val="both"/>
      </w:pPr>
      <w:r>
        <w:t xml:space="preserve">Pierwsza linia tramwajowa, „czerwona”, rzecz jasna konna, powstała w 1885 roku i powiodła od </w:t>
      </w:r>
      <w:r w:rsidR="006E5FB2">
        <w:t>Dolnego</w:t>
      </w:r>
      <w:r>
        <w:t xml:space="preserve"> Miasta, przez Długie Ogrody, Wyspę Spichrzów ku Głównemu Miastu i dalej, na Targ Rakowy. W tym celu wykorzystano powstałe w 1873 roku połączenie </w:t>
      </w:r>
      <w:proofErr w:type="spellStart"/>
      <w:r w:rsidRPr="00E7357C">
        <w:t>Weidengasse</w:t>
      </w:r>
      <w:proofErr w:type="spellEnd"/>
      <w:r>
        <w:t xml:space="preserve"> (Łąkowej) z Długimi Ogrodami.</w:t>
      </w:r>
    </w:p>
    <w:p w:rsidR="003D5E09" w:rsidRDefault="00E7357C" w:rsidP="00E7357C">
      <w:pPr>
        <w:pStyle w:val="Standard"/>
        <w:spacing w:line="360" w:lineRule="auto"/>
        <w:ind w:firstLine="567"/>
        <w:jc w:val="both"/>
      </w:pPr>
      <w:r>
        <w:t xml:space="preserve">Drugą linię, „białą”, przeprowadzono w 1886 r. przez ulicę Toruńską ku Przedmieściu, następnie przez ulicę Słodowników ku Głównemu Miastu, aż do Targu Rybnego. W miejscu dawnych Domów Zarazy wzniesiono wówczas zajezdnię dla 18 wozów ze stajnią dla 72 koni, kuźnią i warsztatem, która służyć miała mieszkańcom Gdańska przez </w:t>
      </w:r>
      <w:r w:rsidR="009D37B1">
        <w:t>114 lat. Jeszcze przed końcem XX</w:t>
      </w:r>
      <w:r>
        <w:t xml:space="preserve"> wieku obie linie zostały zelektryfikowane. Przez pewien czas dawne, konne wozy służyły jako przyczepy tych nowych – elektrycznych. Konie zniknęły ze stajni przy zajezdni, która została przebudowana.</w:t>
      </w:r>
      <w:r w:rsidR="006E5FB2">
        <w:t xml:space="preserve"> </w:t>
      </w:r>
    </w:p>
    <w:p w:rsidR="00E7357C" w:rsidRDefault="00E7357C" w:rsidP="003D5E09">
      <w:pPr>
        <w:jc w:val="right"/>
        <w:rPr>
          <w:b/>
          <w:sz w:val="32"/>
          <w:szCs w:val="32"/>
          <w:lang w:eastAsia="zh-CN" w:bidi="hi-IN"/>
        </w:rPr>
      </w:pPr>
    </w:p>
    <w:p w:rsidR="003D5E09" w:rsidRPr="00FB1ADB" w:rsidRDefault="003D5E09" w:rsidP="003D5E09">
      <w:pPr>
        <w:jc w:val="right"/>
        <w:rPr>
          <w:rFonts w:ascii="Liberation Serif" w:eastAsia="FreeSans" w:hAnsi="Liberation Serif" w:cs="Liberation Serif"/>
          <w:color w:val="000000"/>
          <w:kern w:val="3"/>
          <w:sz w:val="24"/>
          <w:szCs w:val="24"/>
          <w:lang w:eastAsia="zh-CN" w:bidi="hi-IN"/>
        </w:rPr>
      </w:pPr>
      <w:r>
        <w:rPr>
          <w:b/>
          <w:sz w:val="32"/>
          <w:szCs w:val="32"/>
          <w:lang w:eastAsia="zh-CN" w:bidi="hi-IN"/>
        </w:rPr>
        <w:t>Str. 28</w:t>
      </w:r>
    </w:p>
    <w:sectPr w:rsidR="003D5E09" w:rsidRPr="00FB1ADB" w:rsidSect="00354C80">
      <w:pgSz w:w="11906" w:h="16838"/>
      <w:pgMar w:top="1134" w:right="1418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default"/>
  </w:font>
  <w:font w:name="FreeSans">
    <w:altName w:val="Arial"/>
    <w:charset w:val="00"/>
    <w:family w:val="swiss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4091"/>
    <w:rsid w:val="0003038B"/>
    <w:rsid w:val="00090D51"/>
    <w:rsid w:val="001048E7"/>
    <w:rsid w:val="00137AA5"/>
    <w:rsid w:val="002D6AD2"/>
    <w:rsid w:val="00326BCB"/>
    <w:rsid w:val="00354C80"/>
    <w:rsid w:val="00362958"/>
    <w:rsid w:val="003A58B9"/>
    <w:rsid w:val="003D5E09"/>
    <w:rsid w:val="004147FE"/>
    <w:rsid w:val="004426AA"/>
    <w:rsid w:val="0048074A"/>
    <w:rsid w:val="004E68CF"/>
    <w:rsid w:val="004F7C69"/>
    <w:rsid w:val="005660E8"/>
    <w:rsid w:val="00573763"/>
    <w:rsid w:val="00597A32"/>
    <w:rsid w:val="005A082A"/>
    <w:rsid w:val="006A4CE9"/>
    <w:rsid w:val="006E5FB2"/>
    <w:rsid w:val="0071493E"/>
    <w:rsid w:val="00756EE7"/>
    <w:rsid w:val="007841AC"/>
    <w:rsid w:val="008D2BD3"/>
    <w:rsid w:val="008E6F87"/>
    <w:rsid w:val="009544B7"/>
    <w:rsid w:val="009D37B1"/>
    <w:rsid w:val="009E614A"/>
    <w:rsid w:val="00A22557"/>
    <w:rsid w:val="00A578E4"/>
    <w:rsid w:val="00AA3B97"/>
    <w:rsid w:val="00AC196B"/>
    <w:rsid w:val="00B50EF4"/>
    <w:rsid w:val="00B62A20"/>
    <w:rsid w:val="00BE5628"/>
    <w:rsid w:val="00BF74A2"/>
    <w:rsid w:val="00C40124"/>
    <w:rsid w:val="00D01ECA"/>
    <w:rsid w:val="00D220FA"/>
    <w:rsid w:val="00E14091"/>
    <w:rsid w:val="00E7357C"/>
    <w:rsid w:val="00EA0017"/>
    <w:rsid w:val="00FB1A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E140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14091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E14091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FreeSans" w:hAnsi="Liberation Serif" w:cs="Liberation Serif"/>
      <w:color w:val="000000"/>
      <w:kern w:val="3"/>
      <w:sz w:val="24"/>
      <w:szCs w:val="24"/>
      <w:lang w:eastAsia="zh-CN" w:bidi="hi-IN"/>
    </w:rPr>
  </w:style>
  <w:style w:type="character" w:styleId="Uwydatnienie">
    <w:name w:val="Emphasis"/>
    <w:rsid w:val="00BE5628"/>
    <w:rPr>
      <w:i/>
      <w:iCs/>
    </w:rPr>
  </w:style>
  <w:style w:type="table" w:styleId="Tabela-Siatka">
    <w:name w:val="Table Grid"/>
    <w:basedOn w:val="Standardowy"/>
    <w:uiPriority w:val="59"/>
    <w:rsid w:val="00BE562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E140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14091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E14091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FreeSans" w:hAnsi="Liberation Serif" w:cs="Liberation Serif"/>
      <w:color w:val="000000"/>
      <w:kern w:val="3"/>
      <w:sz w:val="24"/>
      <w:szCs w:val="24"/>
      <w:lang w:eastAsia="zh-CN" w:bidi="hi-IN"/>
    </w:rPr>
  </w:style>
  <w:style w:type="character" w:styleId="Uwydatnienie">
    <w:name w:val="Emphasis"/>
    <w:rsid w:val="00BE5628"/>
    <w:rPr>
      <w:i/>
      <w:iCs/>
    </w:rPr>
  </w:style>
  <w:style w:type="table" w:styleId="Tabela-Siatka">
    <w:name w:val="Table Grid"/>
    <w:basedOn w:val="Standardowy"/>
    <w:uiPriority w:val="59"/>
    <w:rsid w:val="00BE562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1294</Words>
  <Characters>7765</Characters>
  <Application>Microsoft Office Word</Application>
  <DocSecurity>4</DocSecurity>
  <Lines>64</Lines>
  <Paragraphs>18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DJ</dc:creator>
  <cp:lastModifiedBy>Górski Jacek</cp:lastModifiedBy>
  <cp:revision>2</cp:revision>
  <cp:lastPrinted>2016-09-30T05:33:00Z</cp:lastPrinted>
  <dcterms:created xsi:type="dcterms:W3CDTF">2016-09-30T05:33:00Z</dcterms:created>
  <dcterms:modified xsi:type="dcterms:W3CDTF">2016-09-30T05:33:00Z</dcterms:modified>
</cp:coreProperties>
</file>